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b/>
          <w:lang w:val="pl-PL"/>
        </w:rPr>
      </w:pPr>
      <w:r>
        <w:rPr>
          <w:rFonts w:cs="Arial Narrow" w:ascii="Arial Narrow" w:hAnsi="Arial Narrow"/>
          <w:b/>
          <w:lang w:val="pl-PL"/>
        </w:rPr>
        <w:t xml:space="preserve">w zakresie świadczeń lekarskich w Poradni </w:t>
      </w:r>
      <w:r>
        <w:rPr>
          <w:rFonts w:cs="Arial Narrow" w:ascii="Arial Narrow" w:hAnsi="Arial Narrow"/>
          <w:b/>
          <w:lang w:val="pl-PL"/>
        </w:rPr>
        <w:t>Neurologicznej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 xml:space="preserve">Poradni </w:t>
      </w:r>
      <w:r>
        <w:rPr>
          <w:rFonts w:cs="Arial Narrow" w:ascii="Arial Narrow" w:hAnsi="Arial Narrow"/>
          <w:b/>
          <w:bCs/>
          <w:lang w:val="pl-PL"/>
        </w:rPr>
        <w:t>Neurologicznej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pPr>
      <w:r>
        <w:rPr>
          <w:rFonts w:cs="Arial Narrow" w:ascii="Arial Narrow" w:hAnsi="Arial Narrow"/>
          <w:lang w:val="pl-PL"/>
        </w:rPr>
        <w:t xml:space="preserve">a) udzielanie porad lekarskich w </w:t>
      </w:r>
      <w:r>
        <w:rPr>
          <w:rFonts w:cs="Arial Narrow" w:ascii="Arial Narrow" w:hAnsi="Arial Narrow"/>
          <w:b/>
          <w:lang w:val="pl-PL"/>
        </w:rPr>
        <w:t xml:space="preserve">Poradni </w:t>
      </w:r>
      <w:r>
        <w:rPr>
          <w:rFonts w:cs="Arial Narrow" w:ascii="Arial Narrow" w:hAnsi="Arial Narrow"/>
          <w:b/>
          <w:lang w:val="pl-PL"/>
        </w:rPr>
        <w:t>Neurologicznej</w:t>
      </w:r>
      <w:r>
        <w:rPr>
          <w:rFonts w:cs="Arial Narrow" w:ascii="Arial Narrow" w:hAnsi="Arial Narrow"/>
          <w:b/>
          <w:lang w:val="pl-PL"/>
        </w:rPr>
        <w:t xml:space="preserve">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rPr>
          <w:t>www.nfz-rzeszow.pl</w:t>
        </w:r>
      </w:hyperlink>
      <w:r>
        <w:rPr>
          <w:rFonts w:cs="Arial Narrow" w:ascii="Arial Narrow" w:hAnsi="Arial Narrow"/>
          <w:lang w:val="pl-PL"/>
        </w:rPr>
        <w:t xml:space="preserve"> ;</w:t>
      </w:r>
    </w:p>
    <w:p>
      <w:pPr>
        <w:pStyle w:val="Standard"/>
        <w:spacing w:lineRule="auto" w:line="276"/>
        <w:jc w:val="both"/>
        <w:rPr/>
      </w:pPr>
      <w:r>
        <w:rPr>
          <w:rFonts w:cs="Arial Narrow" w:ascii="Arial Narrow" w:hAnsi="Arial Narrow"/>
          <w:lang w:val="pl-PL"/>
        </w:rPr>
        <w:t xml:space="preserve">b) udzielanie porad lekarskich w </w:t>
      </w:r>
      <w:r>
        <w:rPr>
          <w:rFonts w:cs="Arial Narrow" w:ascii="Arial Narrow" w:hAnsi="Arial Narrow"/>
          <w:b/>
          <w:lang w:val="pl-PL"/>
        </w:rPr>
        <w:t xml:space="preserve">Poradni </w:t>
      </w:r>
      <w:r>
        <w:rPr>
          <w:rFonts w:cs="Arial Narrow" w:ascii="Arial Narrow" w:hAnsi="Arial Narrow"/>
          <w:b/>
          <w:lang w:val="pl-PL"/>
        </w:rPr>
        <w:t>Neurologicznej</w:t>
      </w:r>
      <w:r>
        <w:rPr>
          <w:rFonts w:cs="Arial Narrow" w:ascii="Arial Narrow" w:hAnsi="Arial Narrow"/>
          <w:b/>
          <w:lang w:val="pl-PL"/>
        </w:rPr>
        <w:t xml:space="preserve">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wskazanych w ust. 4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w:t>
      </w:r>
      <w:r>
        <w:rPr>
          <w:rFonts w:cs="Arial Narrow" w:ascii="Arial Narrow" w:hAnsi="Arial Narrow"/>
          <w:lang w:val="pl-PL"/>
        </w:rPr>
        <w:t>neurologii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 xml:space="preserve">Poradni </w:t>
      </w:r>
      <w:r>
        <w:rPr>
          <w:rFonts w:cs="Arial Narrow" w:ascii="Arial Narrow" w:hAnsi="Arial Narrow"/>
          <w:b/>
          <w:lang w:val="pl-PL"/>
        </w:rPr>
        <w:t>Neurologicznej</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aktualnej (w czasie realizacji umowy)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3. Rachunek, o którym mowa w ust. 2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fals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LibreOffice/7.4.0.3$Windows_X86_64 LibreOffice_project/f85e47c08ddd19c015c0114a68350214f7066f5a</Application>
  <AppVersion>15.0000</AppVersion>
  <Pages>8</Pages>
  <Words>2866</Words>
  <Characters>19491</Characters>
  <CharactersWithSpaces>22627</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2022-04-27T06:40:00Z</dcterms:created>
  <dc:creator>Tomasz Sala</dc:creator>
  <dc:description/>
  <dc:language>pl-PL</dc:language>
  <cp:lastModifiedBy/>
  <dcterms:modified xsi:type="dcterms:W3CDTF">2022-10-28T12:21:57Z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